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鲁永辉</w:t>
      </w:r>
      <w:r>
        <w:rPr>
          <w:rFonts w:hint="eastAsia"/>
          <w:sz w:val="15"/>
          <w:szCs w:val="15"/>
          <w:highlight w:val="none"/>
        </w:rPr>
        <w:t>，</w:t>
      </w:r>
      <w:r>
        <w:rPr>
          <w:rFonts w:hint="eastAsia"/>
          <w:sz w:val="15"/>
          <w:szCs w:val="15"/>
          <w:highlight w:val="none"/>
          <w:lang w:val="en-US" w:eastAsia="zh-CN"/>
        </w:rPr>
        <w:t>130125197508160499</w:t>
      </w:r>
      <w:r>
        <w:rPr>
          <w:rFonts w:hint="eastAsia"/>
          <w:sz w:val="15"/>
          <w:szCs w:val="15"/>
        </w:rPr>
        <w:t xml:space="preserve">  </w:t>
      </w:r>
      <w:r>
        <w:rPr>
          <w:rFonts w:hint="eastAsia"/>
          <w:sz w:val="15"/>
          <w:szCs w:val="15"/>
          <w:lang w:val="en-US" w:eastAsia="zh-CN"/>
        </w:rPr>
        <w:t>冀A73267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