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贾志杰</w:t>
      </w:r>
      <w:r>
        <w:rPr>
          <w:rFonts w:hint="eastAsia"/>
          <w:sz w:val="15"/>
          <w:szCs w:val="15"/>
          <w:highlight w:val="none"/>
        </w:rPr>
        <w:t>，</w:t>
      </w:r>
      <w:r>
        <w:rPr>
          <w:rFonts w:hint="eastAsia"/>
          <w:sz w:val="15"/>
          <w:szCs w:val="15"/>
          <w:highlight w:val="none"/>
          <w:lang w:val="en-US" w:eastAsia="zh-CN"/>
        </w:rPr>
        <w:t>130121198208252817</w:t>
      </w:r>
      <w:r>
        <w:rPr>
          <w:rFonts w:hint="eastAsia"/>
          <w:sz w:val="15"/>
          <w:szCs w:val="15"/>
        </w:rPr>
        <w:t xml:space="preserve">  </w:t>
      </w:r>
      <w:r>
        <w:rPr>
          <w:rFonts w:hint="eastAsia"/>
          <w:sz w:val="15"/>
          <w:szCs w:val="15"/>
          <w:lang w:val="en-US" w:eastAsia="zh-CN"/>
        </w:rPr>
        <w:t>冀A7541V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