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李勇雷</w:t>
      </w:r>
      <w:r>
        <w:rPr>
          <w:rFonts w:hint="eastAsia"/>
          <w:sz w:val="15"/>
          <w:szCs w:val="15"/>
          <w:highlight w:val="none"/>
        </w:rPr>
        <w:t>，</w:t>
      </w:r>
      <w:r>
        <w:rPr>
          <w:rFonts w:hint="eastAsia"/>
          <w:sz w:val="15"/>
          <w:szCs w:val="15"/>
          <w:highlight w:val="none"/>
          <w:lang w:val="en-US" w:eastAsia="zh-CN"/>
        </w:rPr>
        <w:t>132337197809183334</w:t>
      </w:r>
      <w:r>
        <w:rPr>
          <w:rFonts w:hint="eastAsia"/>
          <w:sz w:val="15"/>
          <w:szCs w:val="15"/>
        </w:rPr>
        <w:t xml:space="preserve">  </w:t>
      </w:r>
      <w:r>
        <w:rPr>
          <w:rFonts w:hint="eastAsia"/>
          <w:sz w:val="15"/>
          <w:szCs w:val="15"/>
          <w:lang w:val="en-US" w:eastAsia="zh-CN"/>
        </w:rPr>
        <w:t>冀A982MC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