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贾拥峰</w:t>
      </w:r>
      <w:r>
        <w:rPr>
          <w:rFonts w:hint="eastAsia"/>
          <w:sz w:val="15"/>
          <w:szCs w:val="15"/>
          <w:highlight w:val="none"/>
        </w:rPr>
        <w:t>，</w:t>
      </w:r>
      <w:r>
        <w:rPr>
          <w:rFonts w:hint="eastAsia"/>
          <w:sz w:val="15"/>
          <w:szCs w:val="15"/>
          <w:highlight w:val="none"/>
          <w:lang w:val="en-US" w:eastAsia="zh-CN"/>
        </w:rPr>
        <w:t>130125198107053515</w:t>
      </w:r>
      <w:r>
        <w:rPr>
          <w:rFonts w:hint="eastAsia"/>
          <w:sz w:val="15"/>
          <w:szCs w:val="15"/>
        </w:rPr>
        <w:t xml:space="preserve">  </w:t>
      </w:r>
      <w:r>
        <w:rPr>
          <w:rFonts w:hint="eastAsia"/>
          <w:sz w:val="15"/>
          <w:szCs w:val="15"/>
          <w:lang w:val="en-US" w:eastAsia="zh-CN"/>
        </w:rPr>
        <w:t>冀A77933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