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陈志鹏</w:t>
      </w:r>
      <w:r>
        <w:rPr>
          <w:rFonts w:hint="eastAsia"/>
          <w:sz w:val="15"/>
          <w:szCs w:val="15"/>
          <w:highlight w:val="none"/>
        </w:rPr>
        <w:t>，</w:t>
      </w:r>
      <w:r>
        <w:rPr>
          <w:rFonts w:hint="eastAsia"/>
          <w:sz w:val="15"/>
          <w:szCs w:val="15"/>
          <w:highlight w:val="none"/>
          <w:lang w:val="en-US" w:eastAsia="zh-CN"/>
        </w:rPr>
        <w:t>130131198305070057</w:t>
      </w:r>
      <w:r>
        <w:rPr>
          <w:rFonts w:hint="eastAsia"/>
          <w:sz w:val="15"/>
          <w:szCs w:val="15"/>
        </w:rPr>
        <w:t xml:space="preserve">  </w:t>
      </w:r>
      <w:r>
        <w:rPr>
          <w:rFonts w:hint="eastAsia"/>
          <w:sz w:val="15"/>
          <w:szCs w:val="15"/>
          <w:lang w:val="en-US" w:eastAsia="zh-CN"/>
        </w:rPr>
        <w:t>冀A3408Y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