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w:t>
      </w:r>
      <w:r>
        <w:rPr>
          <w:rFonts w:hint="eastAsia"/>
          <w:sz w:val="15"/>
          <w:szCs w:val="15"/>
          <w:highlight w:val="none"/>
        </w:rPr>
        <w:t>，</w:t>
      </w:r>
      <w:r>
        <w:rPr>
          <w:rFonts w:hint="eastAsia"/>
          <w:sz w:val="15"/>
          <w:szCs w:val="15"/>
          <w:highlight w:val="none"/>
          <w:lang w:val="en-US" w:eastAsia="zh-CN"/>
        </w:rPr>
        <w:t>130131198601121000</w:t>
      </w:r>
      <w:r>
        <w:rPr>
          <w:rFonts w:hint="eastAsia"/>
          <w:sz w:val="15"/>
          <w:szCs w:val="15"/>
        </w:rPr>
        <w:t xml:space="preserve">  </w:t>
      </w:r>
      <w:r>
        <w:rPr>
          <w:rFonts w:hint="eastAsia"/>
          <w:sz w:val="15"/>
          <w:szCs w:val="15"/>
          <w:lang w:val="en-US" w:eastAsia="zh-CN"/>
        </w:rPr>
        <w:t>冀A02136D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