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吴书霞</w:t>
      </w:r>
      <w:r>
        <w:rPr>
          <w:rFonts w:hint="eastAsia"/>
          <w:sz w:val="15"/>
          <w:szCs w:val="15"/>
          <w:highlight w:val="none"/>
        </w:rPr>
        <w:t>，</w:t>
      </w:r>
      <w:r>
        <w:rPr>
          <w:rFonts w:hint="eastAsia"/>
          <w:sz w:val="15"/>
          <w:szCs w:val="15"/>
          <w:highlight w:val="none"/>
          <w:lang w:val="en-US" w:eastAsia="zh-CN"/>
        </w:rPr>
        <w:t>132335197006201321</w:t>
      </w:r>
      <w:r>
        <w:rPr>
          <w:rFonts w:hint="eastAsia"/>
          <w:sz w:val="15"/>
          <w:szCs w:val="15"/>
        </w:rPr>
        <w:t xml:space="preserve">  </w:t>
      </w:r>
      <w:r>
        <w:rPr>
          <w:rFonts w:hint="eastAsia"/>
          <w:sz w:val="15"/>
          <w:szCs w:val="15"/>
          <w:lang w:val="en-US" w:eastAsia="zh-CN"/>
        </w:rPr>
        <w:t>冀A37070D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