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李彦伟</w:t>
      </w:r>
      <w:r>
        <w:rPr>
          <w:rFonts w:hint="eastAsia"/>
          <w:sz w:val="15"/>
          <w:szCs w:val="15"/>
          <w:highlight w:val="none"/>
        </w:rPr>
        <w:t>，</w:t>
      </w:r>
      <w:r>
        <w:rPr>
          <w:rFonts w:hint="eastAsia"/>
          <w:sz w:val="15"/>
          <w:szCs w:val="15"/>
          <w:highlight w:val="none"/>
          <w:lang w:val="en-US" w:eastAsia="zh-CN"/>
        </w:rPr>
        <w:t>130182198304041975</w:t>
      </w:r>
      <w:r>
        <w:rPr>
          <w:rFonts w:hint="eastAsia"/>
          <w:sz w:val="15"/>
          <w:szCs w:val="15"/>
        </w:rPr>
        <w:t xml:space="preserve">  </w:t>
      </w:r>
      <w:r>
        <w:rPr>
          <w:rFonts w:hint="eastAsia"/>
          <w:sz w:val="15"/>
          <w:szCs w:val="15"/>
          <w:lang w:val="en-US" w:eastAsia="zh-CN"/>
        </w:rPr>
        <w:t>冀A75160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