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樊慧明</w:t>
      </w:r>
      <w:r>
        <w:rPr>
          <w:rFonts w:hint="eastAsia"/>
          <w:sz w:val="15"/>
          <w:szCs w:val="15"/>
          <w:highlight w:val="none"/>
        </w:rPr>
        <w:t>，</w:t>
      </w:r>
      <w:r>
        <w:rPr>
          <w:rFonts w:hint="eastAsia"/>
          <w:sz w:val="15"/>
          <w:szCs w:val="15"/>
          <w:highlight w:val="none"/>
          <w:lang w:val="en-US" w:eastAsia="zh-CN"/>
        </w:rPr>
        <w:t>130131199808242118</w:t>
      </w:r>
      <w:r>
        <w:rPr>
          <w:rFonts w:hint="eastAsia"/>
          <w:sz w:val="15"/>
          <w:szCs w:val="15"/>
        </w:rPr>
        <w:t xml:space="preserve">  </w:t>
      </w:r>
      <w:r>
        <w:rPr>
          <w:rFonts w:hint="eastAsia"/>
          <w:sz w:val="15"/>
          <w:szCs w:val="15"/>
          <w:lang w:val="en-US" w:eastAsia="zh-CN"/>
        </w:rPr>
        <w:t>冀A31615D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