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尚永亮</w:t>
      </w:r>
      <w:r>
        <w:rPr>
          <w:rFonts w:hint="eastAsia"/>
          <w:sz w:val="15"/>
          <w:szCs w:val="15"/>
          <w:highlight w:val="none"/>
        </w:rPr>
        <w:t>，</w:t>
      </w:r>
      <w:r>
        <w:rPr>
          <w:rFonts w:hint="eastAsia"/>
          <w:sz w:val="15"/>
          <w:szCs w:val="15"/>
          <w:highlight w:val="none"/>
          <w:lang w:val="en-US" w:eastAsia="zh-CN"/>
        </w:rPr>
        <w:t>130126198810053038</w:t>
      </w:r>
      <w:r>
        <w:rPr>
          <w:rFonts w:hint="eastAsia"/>
          <w:sz w:val="15"/>
          <w:szCs w:val="15"/>
        </w:rPr>
        <w:t xml:space="preserve">  </w:t>
      </w:r>
      <w:r>
        <w:rPr>
          <w:rFonts w:hint="eastAsia"/>
          <w:sz w:val="15"/>
          <w:szCs w:val="15"/>
          <w:lang w:val="en-US" w:eastAsia="zh-CN"/>
        </w:rPr>
        <w:t>冀A42970D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