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高立明</w:t>
      </w:r>
      <w:r>
        <w:rPr>
          <w:rFonts w:hint="eastAsia"/>
          <w:sz w:val="15"/>
          <w:szCs w:val="15"/>
          <w:highlight w:val="none"/>
        </w:rPr>
        <w:t>，</w:t>
      </w:r>
      <w:r>
        <w:rPr>
          <w:rFonts w:hint="eastAsia"/>
          <w:sz w:val="15"/>
          <w:szCs w:val="15"/>
          <w:highlight w:val="none"/>
          <w:lang w:val="en-US" w:eastAsia="zh-CN"/>
        </w:rPr>
        <w:t>130125198801110014</w:t>
      </w:r>
      <w:r>
        <w:rPr>
          <w:rFonts w:hint="eastAsia"/>
          <w:sz w:val="15"/>
          <w:szCs w:val="15"/>
        </w:rPr>
        <w:t xml:space="preserve">  </w:t>
      </w:r>
      <w:r>
        <w:rPr>
          <w:rFonts w:hint="eastAsia"/>
          <w:sz w:val="15"/>
          <w:szCs w:val="15"/>
          <w:lang w:val="en-US" w:eastAsia="zh-CN"/>
        </w:rPr>
        <w:t>冀A908AX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