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高健坤</w:t>
      </w:r>
      <w:r>
        <w:rPr>
          <w:rFonts w:hint="eastAsia"/>
          <w:sz w:val="15"/>
          <w:szCs w:val="15"/>
          <w:highlight w:val="none"/>
        </w:rPr>
        <w:t>，</w:t>
      </w:r>
      <w:r>
        <w:rPr>
          <w:rFonts w:hint="eastAsia"/>
          <w:sz w:val="15"/>
          <w:szCs w:val="15"/>
          <w:highlight w:val="none"/>
          <w:lang w:val="en-US" w:eastAsia="zh-CN"/>
        </w:rPr>
        <w:t>130125198201070039</w:t>
      </w:r>
      <w:r>
        <w:rPr>
          <w:rFonts w:hint="eastAsia"/>
          <w:sz w:val="15"/>
          <w:szCs w:val="15"/>
        </w:rPr>
        <w:t xml:space="preserve">  </w:t>
      </w:r>
      <w:r>
        <w:rPr>
          <w:rFonts w:hint="eastAsia"/>
          <w:sz w:val="15"/>
          <w:szCs w:val="15"/>
          <w:lang w:val="en-US" w:eastAsia="zh-CN"/>
        </w:rPr>
        <w:t>冀A922AE</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