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赵宁宁</w:t>
      </w:r>
      <w:r>
        <w:rPr>
          <w:rFonts w:hint="eastAsia"/>
          <w:sz w:val="15"/>
          <w:szCs w:val="15"/>
          <w:highlight w:val="none"/>
        </w:rPr>
        <w:t>，</w:t>
      </w:r>
      <w:r>
        <w:rPr>
          <w:rFonts w:hint="eastAsia"/>
          <w:sz w:val="15"/>
          <w:szCs w:val="15"/>
          <w:highlight w:val="none"/>
          <w:lang w:val="en-US" w:eastAsia="zh-CN"/>
        </w:rPr>
        <w:t>130121198705272413</w:t>
      </w:r>
      <w:r>
        <w:rPr>
          <w:rFonts w:hint="eastAsia"/>
          <w:sz w:val="15"/>
          <w:szCs w:val="15"/>
        </w:rPr>
        <w:t xml:space="preserve">  </w:t>
      </w:r>
      <w:r>
        <w:rPr>
          <w:rFonts w:hint="eastAsia"/>
          <w:sz w:val="15"/>
          <w:szCs w:val="15"/>
          <w:lang w:val="en-US" w:eastAsia="zh-CN"/>
        </w:rPr>
        <w:t>沪A83273D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