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杜保锁</w:t>
      </w:r>
      <w:r>
        <w:rPr>
          <w:rFonts w:hint="eastAsia"/>
          <w:sz w:val="15"/>
          <w:szCs w:val="15"/>
          <w:highlight w:val="none"/>
        </w:rPr>
        <w:t>，</w:t>
      </w:r>
      <w:r>
        <w:rPr>
          <w:rFonts w:hint="eastAsia"/>
          <w:sz w:val="15"/>
          <w:szCs w:val="15"/>
          <w:highlight w:val="none"/>
          <w:lang w:val="en-US" w:eastAsia="zh-CN"/>
        </w:rPr>
        <w:t>130121198209010035</w:t>
      </w:r>
      <w:r>
        <w:rPr>
          <w:rFonts w:hint="eastAsia"/>
          <w:sz w:val="15"/>
          <w:szCs w:val="15"/>
        </w:rPr>
        <w:t xml:space="preserve">  </w:t>
      </w:r>
      <w:r>
        <w:rPr>
          <w:rFonts w:hint="eastAsia"/>
          <w:sz w:val="15"/>
          <w:szCs w:val="15"/>
          <w:lang w:val="en-US" w:eastAsia="zh-CN"/>
        </w:rPr>
        <w:t>冀AQ3754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