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张宏达</w:t>
      </w:r>
      <w:r>
        <w:rPr>
          <w:rFonts w:hint="eastAsia"/>
          <w:sz w:val="15"/>
          <w:szCs w:val="15"/>
          <w:highlight w:val="none"/>
        </w:rPr>
        <w:t>，</w:t>
      </w:r>
      <w:r>
        <w:rPr>
          <w:rFonts w:hint="eastAsia"/>
          <w:sz w:val="15"/>
          <w:szCs w:val="15"/>
          <w:highlight w:val="none"/>
          <w:lang w:val="en-US" w:eastAsia="zh-CN"/>
        </w:rPr>
        <w:t>150428199711224716</w:t>
      </w:r>
      <w:r>
        <w:rPr>
          <w:rFonts w:hint="eastAsia"/>
          <w:sz w:val="15"/>
          <w:szCs w:val="15"/>
        </w:rPr>
        <w:t xml:space="preserve">  </w:t>
      </w:r>
      <w:r>
        <w:rPr>
          <w:rFonts w:hint="eastAsia"/>
          <w:sz w:val="15"/>
          <w:szCs w:val="15"/>
          <w:lang w:val="en-US" w:eastAsia="zh-CN"/>
        </w:rPr>
        <w:t>冀B5507Z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