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王志敏</w:t>
      </w:r>
      <w:r>
        <w:rPr>
          <w:rFonts w:hint="eastAsia"/>
          <w:sz w:val="15"/>
          <w:szCs w:val="15"/>
          <w:highlight w:val="none"/>
        </w:rPr>
        <w:t>，</w:t>
      </w:r>
      <w:r>
        <w:rPr>
          <w:rFonts w:hint="eastAsia"/>
          <w:sz w:val="15"/>
          <w:szCs w:val="15"/>
          <w:highlight w:val="none"/>
          <w:lang w:val="en-US" w:eastAsia="zh-CN"/>
        </w:rPr>
        <w:t>150424198308292428</w:t>
      </w:r>
      <w:r>
        <w:rPr>
          <w:rFonts w:hint="eastAsia"/>
          <w:sz w:val="15"/>
          <w:szCs w:val="15"/>
        </w:rPr>
        <w:t xml:space="preserve">  </w:t>
      </w:r>
      <w:r>
        <w:rPr>
          <w:rFonts w:hint="eastAsia"/>
          <w:sz w:val="15"/>
          <w:szCs w:val="15"/>
          <w:lang w:val="en-US" w:eastAsia="zh-CN"/>
        </w:rPr>
        <w:t>冀A5880Y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