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张双勇</w:t>
      </w:r>
      <w:r>
        <w:rPr>
          <w:rFonts w:hint="eastAsia"/>
          <w:sz w:val="15"/>
          <w:szCs w:val="15"/>
          <w:highlight w:val="none"/>
        </w:rPr>
        <w:t>，</w:t>
      </w:r>
      <w:r>
        <w:rPr>
          <w:rFonts w:hint="eastAsia"/>
          <w:sz w:val="15"/>
          <w:szCs w:val="15"/>
          <w:highlight w:val="none"/>
          <w:lang w:val="en-US" w:eastAsia="zh-CN"/>
        </w:rPr>
        <w:t>142223196911055818</w:t>
      </w:r>
      <w:r>
        <w:rPr>
          <w:rFonts w:hint="eastAsia"/>
          <w:sz w:val="15"/>
          <w:szCs w:val="15"/>
        </w:rPr>
        <w:t xml:space="preserve">  </w:t>
      </w:r>
      <w:r>
        <w:rPr>
          <w:rFonts w:hint="eastAsia"/>
          <w:sz w:val="15"/>
          <w:szCs w:val="15"/>
          <w:lang w:val="en-US" w:eastAsia="zh-CN"/>
        </w:rPr>
        <w:t>冀A433AH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