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牛金霞</w:t>
      </w:r>
      <w:r>
        <w:rPr>
          <w:rFonts w:hint="eastAsia"/>
          <w:sz w:val="15"/>
          <w:szCs w:val="15"/>
          <w:highlight w:val="none"/>
        </w:rPr>
        <w:t>，</w:t>
      </w:r>
      <w:r>
        <w:rPr>
          <w:rFonts w:hint="eastAsia"/>
          <w:sz w:val="15"/>
          <w:szCs w:val="15"/>
          <w:highlight w:val="none"/>
          <w:lang w:val="en-US" w:eastAsia="zh-CN"/>
        </w:rPr>
        <w:t>132336197902170726</w:t>
      </w:r>
      <w:r>
        <w:rPr>
          <w:rFonts w:hint="eastAsia"/>
          <w:sz w:val="15"/>
          <w:szCs w:val="15"/>
        </w:rPr>
        <w:t xml:space="preserve">  </w:t>
      </w:r>
      <w:r>
        <w:rPr>
          <w:rFonts w:hint="eastAsia"/>
          <w:sz w:val="15"/>
          <w:szCs w:val="15"/>
          <w:lang w:val="en-US" w:eastAsia="zh-CN"/>
        </w:rPr>
        <w:t>冀AF8158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