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袁国云</w:t>
      </w:r>
      <w:r>
        <w:rPr>
          <w:rFonts w:hint="eastAsia"/>
          <w:sz w:val="15"/>
          <w:szCs w:val="15"/>
          <w:highlight w:val="none"/>
        </w:rPr>
        <w:t>，</w:t>
      </w:r>
      <w:r>
        <w:rPr>
          <w:rFonts w:hint="eastAsia"/>
          <w:sz w:val="15"/>
          <w:szCs w:val="15"/>
          <w:highlight w:val="none"/>
          <w:lang w:val="en-US" w:eastAsia="zh-CN"/>
        </w:rPr>
        <w:t>132336197010121128</w:t>
      </w:r>
      <w:r>
        <w:rPr>
          <w:rFonts w:hint="eastAsia"/>
          <w:sz w:val="15"/>
          <w:szCs w:val="15"/>
        </w:rPr>
        <w:t xml:space="preserve">  </w:t>
      </w:r>
      <w:r>
        <w:rPr>
          <w:rFonts w:hint="eastAsia"/>
          <w:sz w:val="15"/>
          <w:szCs w:val="15"/>
          <w:lang w:val="en-US" w:eastAsia="zh-CN"/>
        </w:rPr>
        <w:t>冀A595A3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