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卢国联</w:t>
      </w:r>
      <w:r>
        <w:rPr>
          <w:rFonts w:hint="eastAsia"/>
          <w:sz w:val="15"/>
          <w:szCs w:val="15"/>
          <w:highlight w:val="none"/>
        </w:rPr>
        <w:t>，</w:t>
      </w:r>
      <w:r>
        <w:rPr>
          <w:rFonts w:hint="eastAsia"/>
          <w:sz w:val="15"/>
          <w:szCs w:val="15"/>
          <w:highlight w:val="none"/>
          <w:lang w:val="en-US" w:eastAsia="zh-CN"/>
        </w:rPr>
        <w:t>132335198004100863</w:t>
      </w:r>
      <w:r>
        <w:rPr>
          <w:rFonts w:hint="eastAsia"/>
          <w:sz w:val="15"/>
          <w:szCs w:val="15"/>
        </w:rPr>
        <w:t xml:space="preserve">  </w:t>
      </w:r>
      <w:r>
        <w:rPr>
          <w:rFonts w:hint="eastAsia"/>
          <w:sz w:val="15"/>
          <w:szCs w:val="15"/>
          <w:lang w:val="en-US" w:eastAsia="zh-CN"/>
        </w:rPr>
        <w:t>冀A40890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