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张卫朝</w:t>
      </w:r>
      <w:r>
        <w:rPr>
          <w:rFonts w:hint="eastAsia"/>
          <w:sz w:val="15"/>
          <w:szCs w:val="15"/>
          <w:highlight w:val="none"/>
        </w:rPr>
        <w:t>，</w:t>
      </w:r>
      <w:r>
        <w:rPr>
          <w:rFonts w:hint="eastAsia"/>
          <w:sz w:val="15"/>
          <w:szCs w:val="15"/>
          <w:highlight w:val="none"/>
          <w:lang w:val="en-US" w:eastAsia="zh-CN"/>
        </w:rPr>
        <w:t>13233519791019131X</w:t>
      </w:r>
      <w:r>
        <w:rPr>
          <w:rFonts w:hint="eastAsia"/>
          <w:sz w:val="15"/>
          <w:szCs w:val="15"/>
        </w:rPr>
        <w:t xml:space="preserve">  </w:t>
      </w:r>
      <w:r>
        <w:rPr>
          <w:rFonts w:hint="eastAsia"/>
          <w:sz w:val="15"/>
          <w:szCs w:val="15"/>
          <w:lang w:val="en-US" w:eastAsia="zh-CN"/>
        </w:rPr>
        <w:t>冀A04108D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