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李文霞</w:t>
      </w:r>
      <w:r>
        <w:rPr>
          <w:rFonts w:hint="eastAsia"/>
          <w:sz w:val="15"/>
          <w:szCs w:val="15"/>
          <w:highlight w:val="none"/>
        </w:rPr>
        <w:t>，</w:t>
      </w:r>
      <w:r>
        <w:rPr>
          <w:rFonts w:hint="eastAsia"/>
          <w:sz w:val="15"/>
          <w:szCs w:val="15"/>
          <w:highlight w:val="none"/>
          <w:lang w:val="en-US" w:eastAsia="zh-CN"/>
        </w:rPr>
        <w:t>132335197201030863</w:t>
      </w:r>
      <w:r>
        <w:rPr>
          <w:rFonts w:hint="eastAsia"/>
          <w:sz w:val="15"/>
          <w:szCs w:val="15"/>
        </w:rPr>
        <w:t xml:space="preserve">  </w:t>
      </w:r>
      <w:r>
        <w:rPr>
          <w:rFonts w:hint="eastAsia"/>
          <w:sz w:val="15"/>
          <w:szCs w:val="15"/>
          <w:lang w:val="en-US" w:eastAsia="zh-CN"/>
        </w:rPr>
        <w:t>冀A986WQ</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