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贾建龙</w:t>
      </w:r>
      <w:r>
        <w:rPr>
          <w:rFonts w:hint="eastAsia"/>
          <w:sz w:val="15"/>
          <w:szCs w:val="15"/>
          <w:highlight w:val="none"/>
        </w:rPr>
        <w:t>，</w:t>
      </w:r>
      <w:r>
        <w:rPr>
          <w:rFonts w:hint="eastAsia"/>
          <w:sz w:val="15"/>
          <w:szCs w:val="15"/>
          <w:highlight w:val="none"/>
          <w:lang w:val="en-US" w:eastAsia="zh-CN"/>
        </w:rPr>
        <w:t>132335197109061616</w:t>
      </w:r>
      <w:r>
        <w:rPr>
          <w:rFonts w:hint="eastAsia"/>
          <w:sz w:val="15"/>
          <w:szCs w:val="15"/>
        </w:rPr>
        <w:t xml:space="preserve">  </w:t>
      </w:r>
      <w:r>
        <w:rPr>
          <w:rFonts w:hint="eastAsia"/>
          <w:sz w:val="15"/>
          <w:szCs w:val="15"/>
          <w:lang w:val="en-US" w:eastAsia="zh-CN"/>
        </w:rPr>
        <w:t>冀A64T77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