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闫光辉</w:t>
      </w:r>
      <w:r>
        <w:rPr>
          <w:rFonts w:hint="eastAsia"/>
          <w:sz w:val="15"/>
          <w:szCs w:val="15"/>
          <w:highlight w:val="none"/>
        </w:rPr>
        <w:t>，</w:t>
      </w:r>
      <w:r>
        <w:rPr>
          <w:rFonts w:hint="eastAsia"/>
          <w:sz w:val="15"/>
          <w:szCs w:val="15"/>
          <w:highlight w:val="none"/>
          <w:lang w:val="en-US" w:eastAsia="zh-CN"/>
        </w:rPr>
        <w:t>13052719790621053X</w:t>
      </w:r>
      <w:r>
        <w:rPr>
          <w:rFonts w:hint="eastAsia"/>
          <w:sz w:val="15"/>
          <w:szCs w:val="15"/>
        </w:rPr>
        <w:t xml:space="preserve">  </w:t>
      </w:r>
      <w:r>
        <w:rPr>
          <w:rFonts w:hint="eastAsia"/>
          <w:sz w:val="15"/>
          <w:szCs w:val="15"/>
          <w:lang w:val="en-US" w:eastAsia="zh-CN"/>
        </w:rPr>
        <w:t>冀EV7925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