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解聪</w:t>
      </w:r>
      <w:r>
        <w:rPr>
          <w:rFonts w:hint="eastAsia"/>
          <w:sz w:val="15"/>
          <w:szCs w:val="15"/>
          <w:highlight w:val="none"/>
        </w:rPr>
        <w:t>，</w:t>
      </w:r>
      <w:r>
        <w:rPr>
          <w:rFonts w:hint="eastAsia"/>
          <w:sz w:val="15"/>
          <w:szCs w:val="15"/>
          <w:highlight w:val="none"/>
          <w:lang w:val="en-US" w:eastAsia="zh-CN"/>
        </w:rPr>
        <w:t>13013120010130152X</w:t>
      </w:r>
      <w:r>
        <w:rPr>
          <w:rFonts w:hint="eastAsia"/>
          <w:sz w:val="15"/>
          <w:szCs w:val="15"/>
        </w:rPr>
        <w:t xml:space="preserve">  </w:t>
      </w:r>
      <w:r>
        <w:rPr>
          <w:rFonts w:hint="eastAsia"/>
          <w:sz w:val="15"/>
          <w:szCs w:val="15"/>
          <w:lang w:val="en-US" w:eastAsia="zh-CN"/>
        </w:rPr>
        <w:t>沪A29619A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