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梁佳佳</w:t>
      </w:r>
      <w:r>
        <w:rPr>
          <w:rFonts w:hint="eastAsia"/>
          <w:sz w:val="15"/>
          <w:szCs w:val="15"/>
          <w:highlight w:val="none"/>
        </w:rPr>
        <w:t>，</w:t>
      </w:r>
      <w:r>
        <w:rPr>
          <w:rFonts w:hint="eastAsia"/>
          <w:sz w:val="15"/>
          <w:szCs w:val="15"/>
          <w:highlight w:val="none"/>
          <w:lang w:val="en-US" w:eastAsia="zh-CN"/>
        </w:rPr>
        <w:t>130131199406080048</w:t>
      </w:r>
      <w:r>
        <w:rPr>
          <w:rFonts w:hint="eastAsia"/>
          <w:sz w:val="15"/>
          <w:szCs w:val="15"/>
        </w:rPr>
        <w:t xml:space="preserve">  </w:t>
      </w:r>
      <w:r>
        <w:rPr>
          <w:rFonts w:hint="eastAsia"/>
          <w:sz w:val="15"/>
          <w:szCs w:val="15"/>
          <w:lang w:val="en-US" w:eastAsia="zh-CN"/>
        </w:rPr>
        <w:t>津A22839D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