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赵进波</w:t>
      </w:r>
      <w:r>
        <w:rPr>
          <w:rFonts w:hint="eastAsia"/>
          <w:sz w:val="15"/>
          <w:szCs w:val="15"/>
          <w:highlight w:val="none"/>
        </w:rPr>
        <w:t>，</w:t>
      </w:r>
      <w:r>
        <w:rPr>
          <w:rFonts w:hint="eastAsia"/>
          <w:sz w:val="15"/>
          <w:szCs w:val="15"/>
          <w:highlight w:val="none"/>
          <w:lang w:val="en-US" w:eastAsia="zh-CN"/>
        </w:rPr>
        <w:t>130131198508144554</w:t>
      </w:r>
      <w:r>
        <w:rPr>
          <w:rFonts w:hint="eastAsia"/>
          <w:sz w:val="15"/>
          <w:szCs w:val="15"/>
        </w:rPr>
        <w:t xml:space="preserve">  </w:t>
      </w:r>
      <w:r>
        <w:rPr>
          <w:rFonts w:hint="eastAsia"/>
          <w:sz w:val="15"/>
          <w:szCs w:val="15"/>
          <w:lang w:val="en-US" w:eastAsia="zh-CN"/>
        </w:rPr>
        <w:t>冀A6674N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