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曹艳霞</w:t>
      </w:r>
      <w:r>
        <w:rPr>
          <w:rFonts w:hint="eastAsia"/>
          <w:sz w:val="15"/>
          <w:szCs w:val="15"/>
          <w:highlight w:val="none"/>
        </w:rPr>
        <w:t>，</w:t>
      </w:r>
      <w:r>
        <w:rPr>
          <w:rFonts w:hint="eastAsia"/>
          <w:sz w:val="15"/>
          <w:szCs w:val="15"/>
          <w:highlight w:val="none"/>
          <w:lang w:val="en-US" w:eastAsia="zh-CN"/>
        </w:rPr>
        <w:t>130131198307133664</w:t>
      </w:r>
      <w:r>
        <w:rPr>
          <w:rFonts w:hint="eastAsia"/>
          <w:sz w:val="15"/>
          <w:szCs w:val="15"/>
        </w:rPr>
        <w:t xml:space="preserve">  </w:t>
      </w:r>
      <w:r>
        <w:rPr>
          <w:rFonts w:hint="eastAsia"/>
          <w:sz w:val="15"/>
          <w:szCs w:val="15"/>
          <w:lang w:val="en-US" w:eastAsia="zh-CN"/>
        </w:rPr>
        <w:t>冀A664AU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