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苗伟伟</w:t>
      </w:r>
      <w:r>
        <w:rPr>
          <w:rFonts w:hint="eastAsia"/>
          <w:sz w:val="15"/>
          <w:szCs w:val="15"/>
          <w:highlight w:val="none"/>
        </w:rPr>
        <w:t>，</w:t>
      </w:r>
      <w:r>
        <w:rPr>
          <w:rFonts w:hint="eastAsia"/>
          <w:sz w:val="15"/>
          <w:szCs w:val="15"/>
          <w:highlight w:val="none"/>
          <w:lang w:val="en-US" w:eastAsia="zh-CN"/>
        </w:rPr>
        <w:t>13012619900417186X</w:t>
      </w:r>
      <w:r>
        <w:rPr>
          <w:rFonts w:hint="eastAsia"/>
          <w:sz w:val="15"/>
          <w:szCs w:val="15"/>
        </w:rPr>
        <w:t xml:space="preserve">  </w:t>
      </w:r>
      <w:r>
        <w:rPr>
          <w:rFonts w:hint="eastAsia"/>
          <w:sz w:val="15"/>
          <w:szCs w:val="15"/>
          <w:lang w:val="en-US" w:eastAsia="zh-CN"/>
        </w:rPr>
        <w:t>冀A2000R</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