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赵立辉</w:t>
      </w:r>
      <w:r>
        <w:rPr>
          <w:rFonts w:hint="eastAsia"/>
          <w:sz w:val="15"/>
          <w:szCs w:val="15"/>
          <w:highlight w:val="none"/>
        </w:rPr>
        <w:t>，</w:t>
      </w:r>
      <w:r>
        <w:rPr>
          <w:rFonts w:hint="eastAsia"/>
          <w:sz w:val="15"/>
          <w:szCs w:val="15"/>
          <w:highlight w:val="none"/>
          <w:lang w:val="en-US" w:eastAsia="zh-CN"/>
        </w:rPr>
        <w:t>130126198901071215</w:t>
      </w:r>
      <w:r>
        <w:rPr>
          <w:rFonts w:hint="eastAsia"/>
          <w:sz w:val="15"/>
          <w:szCs w:val="15"/>
        </w:rPr>
        <w:t xml:space="preserve">  </w:t>
      </w:r>
      <w:r>
        <w:rPr>
          <w:rFonts w:hint="eastAsia"/>
          <w:sz w:val="15"/>
          <w:szCs w:val="15"/>
          <w:lang w:val="en-US" w:eastAsia="zh-CN"/>
        </w:rPr>
        <w:t>冀A36578D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