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张彬</w:t>
      </w:r>
      <w:r>
        <w:rPr>
          <w:rFonts w:hint="eastAsia"/>
          <w:sz w:val="15"/>
          <w:szCs w:val="15"/>
          <w:highlight w:val="none"/>
        </w:rPr>
        <w:t>，</w:t>
      </w:r>
      <w:r>
        <w:rPr>
          <w:rFonts w:hint="eastAsia"/>
          <w:sz w:val="15"/>
          <w:szCs w:val="15"/>
          <w:highlight w:val="none"/>
          <w:lang w:val="en-US" w:eastAsia="zh-CN"/>
        </w:rPr>
        <w:t>13012619860518301X</w:t>
      </w:r>
      <w:r>
        <w:rPr>
          <w:rFonts w:hint="eastAsia"/>
          <w:sz w:val="15"/>
          <w:szCs w:val="15"/>
        </w:rPr>
        <w:t xml:space="preserve">  </w:t>
      </w:r>
      <w:r>
        <w:rPr>
          <w:rFonts w:hint="eastAsia"/>
          <w:sz w:val="15"/>
          <w:szCs w:val="15"/>
          <w:lang w:val="en-US" w:eastAsia="zh-CN"/>
        </w:rPr>
        <w:t>冀A43805D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