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刘慧艳</w:t>
      </w:r>
      <w:r>
        <w:rPr>
          <w:rFonts w:hint="eastAsia"/>
          <w:sz w:val="15"/>
          <w:szCs w:val="15"/>
          <w:highlight w:val="none"/>
        </w:rPr>
        <w:t>，</w:t>
      </w:r>
      <w:r>
        <w:rPr>
          <w:rFonts w:hint="eastAsia"/>
          <w:sz w:val="15"/>
          <w:szCs w:val="15"/>
          <w:highlight w:val="none"/>
          <w:lang w:val="en-US" w:eastAsia="zh-CN"/>
        </w:rPr>
        <w:t>130126198601123028</w:t>
      </w:r>
      <w:r>
        <w:rPr>
          <w:rFonts w:hint="eastAsia"/>
          <w:sz w:val="15"/>
          <w:szCs w:val="15"/>
        </w:rPr>
        <w:t xml:space="preserve">  </w:t>
      </w:r>
      <w:r>
        <w:rPr>
          <w:rFonts w:hint="eastAsia"/>
          <w:sz w:val="15"/>
          <w:szCs w:val="15"/>
          <w:lang w:val="en-US" w:eastAsia="zh-CN"/>
        </w:rPr>
        <w:t>冀A07B27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