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李佳慧</w:t>
      </w:r>
      <w:r>
        <w:rPr>
          <w:rFonts w:hint="eastAsia"/>
          <w:sz w:val="15"/>
          <w:szCs w:val="15"/>
          <w:highlight w:val="none"/>
        </w:rPr>
        <w:t>，</w:t>
      </w:r>
      <w:r>
        <w:rPr>
          <w:rFonts w:hint="eastAsia"/>
          <w:sz w:val="15"/>
          <w:szCs w:val="15"/>
          <w:highlight w:val="none"/>
          <w:lang w:val="en-US" w:eastAsia="zh-CN"/>
        </w:rPr>
        <w:t>130123200609050020</w:t>
      </w:r>
      <w:r>
        <w:rPr>
          <w:rFonts w:hint="eastAsia"/>
          <w:sz w:val="15"/>
          <w:szCs w:val="15"/>
        </w:rPr>
        <w:t xml:space="preserve">  </w:t>
      </w:r>
      <w:r>
        <w:rPr>
          <w:rFonts w:hint="eastAsia"/>
          <w:sz w:val="15"/>
          <w:szCs w:val="15"/>
          <w:lang w:val="en-US" w:eastAsia="zh-CN"/>
        </w:rPr>
        <w:t>冀A779V6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