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王丹丹</w:t>
      </w:r>
      <w:r>
        <w:rPr>
          <w:rFonts w:hint="eastAsia"/>
          <w:sz w:val="15"/>
          <w:szCs w:val="15"/>
          <w:highlight w:val="none"/>
        </w:rPr>
        <w:t>，</w:t>
      </w:r>
      <w:r>
        <w:rPr>
          <w:rFonts w:hint="eastAsia"/>
          <w:sz w:val="15"/>
          <w:szCs w:val="15"/>
          <w:highlight w:val="none"/>
          <w:lang w:val="en-US" w:eastAsia="zh-CN"/>
        </w:rPr>
        <w:t>130123198611205431</w:t>
      </w:r>
      <w:r>
        <w:rPr>
          <w:rFonts w:hint="eastAsia"/>
          <w:sz w:val="15"/>
          <w:szCs w:val="15"/>
        </w:rPr>
        <w:t xml:space="preserve">  </w:t>
      </w:r>
      <w:r>
        <w:rPr>
          <w:rFonts w:hint="eastAsia"/>
          <w:sz w:val="15"/>
          <w:szCs w:val="15"/>
          <w:lang w:val="en-US" w:eastAsia="zh-CN"/>
        </w:rPr>
        <w:t>冀A6869W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