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安素翠</w:t>
      </w:r>
      <w:r>
        <w:rPr>
          <w:rFonts w:hint="eastAsia"/>
          <w:sz w:val="15"/>
          <w:szCs w:val="15"/>
          <w:highlight w:val="none"/>
        </w:rPr>
        <w:t>，</w:t>
      </w:r>
      <w:r>
        <w:rPr>
          <w:rFonts w:hint="eastAsia"/>
          <w:sz w:val="15"/>
          <w:szCs w:val="15"/>
          <w:highlight w:val="none"/>
          <w:lang w:val="en-US" w:eastAsia="zh-CN"/>
        </w:rPr>
        <w:t>130123198411201540</w:t>
      </w:r>
      <w:r>
        <w:rPr>
          <w:rFonts w:hint="eastAsia"/>
          <w:sz w:val="15"/>
          <w:szCs w:val="15"/>
        </w:rPr>
        <w:t xml:space="preserve">  </w:t>
      </w:r>
      <w:r>
        <w:rPr>
          <w:rFonts w:hint="eastAsia"/>
          <w:sz w:val="15"/>
          <w:szCs w:val="15"/>
          <w:lang w:val="en-US" w:eastAsia="zh-CN"/>
        </w:rPr>
        <w:t>冀A811U9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