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高丽</w:t>
      </w:r>
      <w:r>
        <w:rPr>
          <w:rFonts w:hint="eastAsia"/>
          <w:sz w:val="15"/>
          <w:szCs w:val="15"/>
          <w:highlight w:val="none"/>
        </w:rPr>
        <w:t>，</w:t>
      </w:r>
      <w:r>
        <w:rPr>
          <w:rFonts w:hint="eastAsia"/>
          <w:sz w:val="15"/>
          <w:szCs w:val="15"/>
          <w:highlight w:val="none"/>
          <w:lang w:val="en-US" w:eastAsia="zh-CN"/>
        </w:rPr>
        <w:t>130123197901025725</w:t>
      </w:r>
      <w:r>
        <w:rPr>
          <w:rFonts w:hint="eastAsia"/>
          <w:sz w:val="15"/>
          <w:szCs w:val="15"/>
        </w:rPr>
        <w:t xml:space="preserve">  </w:t>
      </w:r>
      <w:r>
        <w:rPr>
          <w:rFonts w:hint="eastAsia"/>
          <w:sz w:val="15"/>
          <w:szCs w:val="15"/>
          <w:lang w:val="en-US" w:eastAsia="zh-CN"/>
        </w:rPr>
        <w:t>冀AKN476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