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朱凤彩</w:t>
      </w:r>
      <w:r>
        <w:rPr>
          <w:rFonts w:hint="eastAsia"/>
          <w:sz w:val="15"/>
          <w:szCs w:val="15"/>
          <w:highlight w:val="none"/>
        </w:rPr>
        <w:t>，</w:t>
      </w:r>
      <w:r>
        <w:rPr>
          <w:rFonts w:hint="eastAsia"/>
          <w:sz w:val="15"/>
          <w:szCs w:val="15"/>
          <w:highlight w:val="none"/>
          <w:lang w:val="en-US" w:eastAsia="zh-CN"/>
        </w:rPr>
        <w:t>130123197404255749</w:t>
      </w:r>
      <w:r>
        <w:rPr>
          <w:rFonts w:hint="eastAsia"/>
          <w:sz w:val="15"/>
          <w:szCs w:val="15"/>
        </w:rPr>
        <w:t xml:space="preserve">  </w:t>
      </w:r>
      <w:r>
        <w:rPr>
          <w:rFonts w:hint="eastAsia"/>
          <w:sz w:val="15"/>
          <w:szCs w:val="15"/>
          <w:lang w:val="en-US" w:eastAsia="zh-CN"/>
        </w:rPr>
        <w:t>冀A610WD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