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戎誉</w:t>
      </w:r>
      <w:r>
        <w:rPr>
          <w:rFonts w:hint="eastAsia"/>
          <w:sz w:val="15"/>
          <w:szCs w:val="15"/>
          <w:highlight w:val="none"/>
        </w:rPr>
        <w:t>，</w:t>
      </w:r>
      <w:r>
        <w:rPr>
          <w:rFonts w:hint="eastAsia"/>
          <w:sz w:val="15"/>
          <w:szCs w:val="15"/>
          <w:highlight w:val="none"/>
          <w:lang w:val="en-US" w:eastAsia="zh-CN"/>
        </w:rPr>
        <w:t>142223199708156713</w:t>
      </w:r>
      <w:r>
        <w:rPr>
          <w:rFonts w:hint="eastAsia"/>
          <w:sz w:val="15"/>
          <w:szCs w:val="15"/>
        </w:rPr>
        <w:t xml:space="preserve">  </w:t>
      </w:r>
      <w:r>
        <w:rPr>
          <w:rFonts w:hint="eastAsia"/>
          <w:sz w:val="15"/>
          <w:szCs w:val="15"/>
          <w:lang w:val="en-US" w:eastAsia="zh-CN"/>
        </w:rPr>
        <w:t>晋HR3773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