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武杰</w:t>
      </w:r>
      <w:r>
        <w:rPr>
          <w:rFonts w:hint="eastAsia"/>
          <w:sz w:val="15"/>
          <w:szCs w:val="15"/>
          <w:highlight w:val="none"/>
        </w:rPr>
        <w:t>，</w:t>
      </w:r>
      <w:r>
        <w:rPr>
          <w:rFonts w:hint="eastAsia"/>
          <w:sz w:val="15"/>
          <w:szCs w:val="15"/>
          <w:highlight w:val="none"/>
          <w:lang w:val="en-US" w:eastAsia="zh-CN"/>
        </w:rPr>
        <w:t>140322199005140915</w:t>
      </w:r>
      <w:r>
        <w:rPr>
          <w:rFonts w:hint="eastAsia"/>
          <w:sz w:val="15"/>
          <w:szCs w:val="15"/>
        </w:rPr>
        <w:t xml:space="preserve">  </w:t>
      </w:r>
      <w:r>
        <w:rPr>
          <w:rFonts w:hint="eastAsia"/>
          <w:sz w:val="15"/>
          <w:szCs w:val="15"/>
          <w:lang w:val="en-US" w:eastAsia="zh-CN"/>
        </w:rPr>
        <w:t>晋C03390D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