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张文亮</w:t>
      </w:r>
      <w:r>
        <w:rPr>
          <w:rFonts w:hint="eastAsia"/>
          <w:sz w:val="15"/>
          <w:szCs w:val="15"/>
          <w:highlight w:val="none"/>
        </w:rPr>
        <w:t>，</w:t>
      </w:r>
      <w:r>
        <w:rPr>
          <w:rFonts w:hint="eastAsia"/>
          <w:sz w:val="15"/>
          <w:szCs w:val="15"/>
          <w:highlight w:val="none"/>
          <w:lang w:val="en-US" w:eastAsia="zh-CN"/>
        </w:rPr>
        <w:t>140311198210071812</w:t>
      </w:r>
      <w:r>
        <w:rPr>
          <w:rFonts w:hint="eastAsia"/>
          <w:sz w:val="15"/>
          <w:szCs w:val="15"/>
        </w:rPr>
        <w:t xml:space="preserve">  </w:t>
      </w:r>
      <w:r>
        <w:rPr>
          <w:rFonts w:hint="eastAsia"/>
          <w:sz w:val="15"/>
          <w:szCs w:val="15"/>
          <w:lang w:val="en-US" w:eastAsia="zh-CN"/>
        </w:rPr>
        <w:t>晋C31209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