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翟金龙</w:t>
      </w:r>
      <w:r>
        <w:rPr>
          <w:rFonts w:hint="eastAsia"/>
          <w:sz w:val="15"/>
          <w:szCs w:val="15"/>
          <w:highlight w:val="none"/>
        </w:rPr>
        <w:t>，</w:t>
      </w:r>
      <w:r>
        <w:rPr>
          <w:rFonts w:hint="eastAsia"/>
          <w:sz w:val="15"/>
          <w:szCs w:val="15"/>
          <w:highlight w:val="none"/>
          <w:lang w:val="en-US" w:eastAsia="zh-CN"/>
        </w:rPr>
        <w:t>132337198108120490</w:t>
      </w:r>
      <w:r>
        <w:rPr>
          <w:rFonts w:hint="eastAsia"/>
          <w:sz w:val="15"/>
          <w:szCs w:val="15"/>
        </w:rPr>
        <w:t xml:space="preserve">  </w:t>
      </w:r>
      <w:r>
        <w:rPr>
          <w:rFonts w:hint="eastAsia"/>
          <w:sz w:val="15"/>
          <w:szCs w:val="15"/>
          <w:lang w:val="en-US" w:eastAsia="zh-CN"/>
        </w:rPr>
        <w:t>冀A545AH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