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孙立军</w:t>
      </w:r>
      <w:r>
        <w:rPr>
          <w:rFonts w:hint="eastAsia"/>
          <w:sz w:val="15"/>
          <w:szCs w:val="15"/>
          <w:highlight w:val="none"/>
        </w:rPr>
        <w:t>，</w:t>
      </w:r>
      <w:r>
        <w:rPr>
          <w:rFonts w:hint="eastAsia"/>
          <w:sz w:val="15"/>
          <w:szCs w:val="15"/>
          <w:highlight w:val="none"/>
          <w:lang w:val="en-US" w:eastAsia="zh-CN"/>
        </w:rPr>
        <w:t>132337198105070512</w:t>
      </w:r>
      <w:r>
        <w:rPr>
          <w:rFonts w:hint="eastAsia"/>
          <w:sz w:val="15"/>
          <w:szCs w:val="15"/>
        </w:rPr>
        <w:t xml:space="preserve">  </w:t>
      </w:r>
      <w:r>
        <w:rPr>
          <w:rFonts w:hint="eastAsia"/>
          <w:sz w:val="15"/>
          <w:szCs w:val="15"/>
          <w:lang w:val="en-US" w:eastAsia="zh-CN"/>
        </w:rPr>
        <w:t>冀A92916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