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苗辉平</w:t>
      </w:r>
      <w:r>
        <w:rPr>
          <w:rFonts w:hint="eastAsia"/>
          <w:sz w:val="15"/>
          <w:szCs w:val="15"/>
          <w:highlight w:val="none"/>
        </w:rPr>
        <w:t>，</w:t>
      </w:r>
      <w:r>
        <w:rPr>
          <w:rFonts w:hint="eastAsia"/>
          <w:sz w:val="15"/>
          <w:szCs w:val="15"/>
          <w:highlight w:val="none"/>
          <w:lang w:val="en-US" w:eastAsia="zh-CN"/>
        </w:rPr>
        <w:t>132337198103201232</w:t>
      </w:r>
      <w:r>
        <w:rPr>
          <w:rFonts w:hint="eastAsia"/>
          <w:sz w:val="15"/>
          <w:szCs w:val="15"/>
        </w:rPr>
        <w:t xml:space="preserve">  </w:t>
      </w:r>
      <w:r>
        <w:rPr>
          <w:rFonts w:hint="eastAsia"/>
          <w:sz w:val="15"/>
          <w:szCs w:val="15"/>
          <w:lang w:val="en-US" w:eastAsia="zh-CN"/>
        </w:rPr>
        <w:t>冀AKR930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