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高鹏</w:t>
      </w:r>
      <w:r>
        <w:rPr>
          <w:rFonts w:hint="eastAsia"/>
          <w:sz w:val="15"/>
          <w:szCs w:val="15"/>
          <w:highlight w:val="none"/>
        </w:rPr>
        <w:t>，</w:t>
      </w:r>
      <w:r>
        <w:rPr>
          <w:rFonts w:hint="eastAsia"/>
          <w:sz w:val="15"/>
          <w:szCs w:val="15"/>
          <w:highlight w:val="none"/>
          <w:lang w:val="en-US" w:eastAsia="zh-CN"/>
        </w:rPr>
        <w:t>132337198007250536</w:t>
      </w:r>
      <w:r>
        <w:rPr>
          <w:rFonts w:hint="eastAsia"/>
          <w:sz w:val="15"/>
          <w:szCs w:val="15"/>
        </w:rPr>
        <w:t xml:space="preserve">  </w:t>
      </w:r>
      <w:r>
        <w:rPr>
          <w:rFonts w:hint="eastAsia"/>
          <w:sz w:val="15"/>
          <w:szCs w:val="15"/>
          <w:lang w:val="en-US" w:eastAsia="zh-CN"/>
        </w:rPr>
        <w:t>冀AKF142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