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石吉龙</w:t>
      </w:r>
      <w:r>
        <w:rPr>
          <w:rFonts w:hint="eastAsia"/>
          <w:sz w:val="15"/>
          <w:szCs w:val="15"/>
          <w:highlight w:val="none"/>
        </w:rPr>
        <w:t>，</w:t>
      </w:r>
      <w:r>
        <w:rPr>
          <w:rFonts w:hint="eastAsia"/>
          <w:sz w:val="15"/>
          <w:szCs w:val="15"/>
          <w:highlight w:val="none"/>
          <w:lang w:val="en-US" w:eastAsia="zh-CN"/>
        </w:rPr>
        <w:t>132337197912120219</w:t>
      </w:r>
      <w:r>
        <w:rPr>
          <w:rFonts w:hint="eastAsia"/>
          <w:sz w:val="15"/>
          <w:szCs w:val="15"/>
        </w:rPr>
        <w:t xml:space="preserve">  </w:t>
      </w:r>
      <w:r>
        <w:rPr>
          <w:rFonts w:hint="eastAsia"/>
          <w:sz w:val="15"/>
          <w:szCs w:val="15"/>
          <w:lang w:val="en-US" w:eastAsia="zh-CN"/>
        </w:rPr>
        <w:t>冀A733CW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