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李波</w:t>
      </w:r>
      <w:r>
        <w:rPr>
          <w:rFonts w:hint="eastAsia"/>
          <w:sz w:val="15"/>
          <w:szCs w:val="15"/>
          <w:highlight w:val="none"/>
        </w:rPr>
        <w:t>，</w:t>
      </w:r>
      <w:r>
        <w:rPr>
          <w:rFonts w:hint="eastAsia"/>
          <w:sz w:val="15"/>
          <w:szCs w:val="15"/>
          <w:highlight w:val="none"/>
          <w:lang w:val="en-US" w:eastAsia="zh-CN"/>
        </w:rPr>
        <w:t>132337197908181430</w:t>
      </w:r>
      <w:r>
        <w:rPr>
          <w:rFonts w:hint="eastAsia"/>
          <w:sz w:val="15"/>
          <w:szCs w:val="15"/>
        </w:rPr>
        <w:t xml:space="preserve">  </w:t>
      </w:r>
      <w:r>
        <w:rPr>
          <w:rFonts w:hint="eastAsia"/>
          <w:sz w:val="15"/>
          <w:szCs w:val="15"/>
          <w:lang w:val="en-US" w:eastAsia="zh-CN"/>
        </w:rPr>
        <w:t>冀AA7689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