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张会民</w:t>
      </w:r>
      <w:r>
        <w:rPr>
          <w:rFonts w:hint="eastAsia"/>
          <w:sz w:val="15"/>
          <w:szCs w:val="15"/>
          <w:highlight w:val="none"/>
        </w:rPr>
        <w:t>，</w:t>
      </w:r>
      <w:r>
        <w:rPr>
          <w:rFonts w:hint="eastAsia"/>
          <w:sz w:val="15"/>
          <w:szCs w:val="15"/>
          <w:highlight w:val="none"/>
          <w:lang w:val="en-US" w:eastAsia="zh-CN"/>
        </w:rPr>
        <w:t>132337197603151636</w:t>
      </w:r>
      <w:r>
        <w:rPr>
          <w:rFonts w:hint="eastAsia"/>
          <w:sz w:val="15"/>
          <w:szCs w:val="15"/>
        </w:rPr>
        <w:t xml:space="preserve">  </w:t>
      </w:r>
      <w:r>
        <w:rPr>
          <w:rFonts w:hint="eastAsia"/>
          <w:sz w:val="15"/>
          <w:szCs w:val="15"/>
          <w:lang w:val="en-US" w:eastAsia="zh-CN"/>
        </w:rPr>
        <w:t>冀A694Y5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