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李金秋</w:t>
      </w:r>
      <w:r>
        <w:rPr>
          <w:rFonts w:hint="eastAsia"/>
          <w:sz w:val="15"/>
          <w:szCs w:val="15"/>
          <w:highlight w:val="none"/>
        </w:rPr>
        <w:t>，</w:t>
      </w:r>
      <w:r>
        <w:rPr>
          <w:rFonts w:hint="eastAsia"/>
          <w:sz w:val="15"/>
          <w:szCs w:val="15"/>
          <w:highlight w:val="none"/>
          <w:lang w:val="en-US" w:eastAsia="zh-CN"/>
        </w:rPr>
        <w:t>132337197406212639</w:t>
      </w:r>
      <w:r>
        <w:rPr>
          <w:rFonts w:hint="eastAsia"/>
          <w:sz w:val="15"/>
          <w:szCs w:val="15"/>
        </w:rPr>
        <w:t xml:space="preserve">  </w:t>
      </w:r>
      <w:r>
        <w:rPr>
          <w:rFonts w:hint="eastAsia"/>
          <w:sz w:val="15"/>
          <w:szCs w:val="15"/>
          <w:lang w:val="en-US" w:eastAsia="zh-CN"/>
        </w:rPr>
        <w:t>冀AKW673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