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谷春红</w:t>
      </w:r>
      <w:r>
        <w:rPr>
          <w:rFonts w:hint="eastAsia"/>
          <w:sz w:val="15"/>
          <w:szCs w:val="15"/>
          <w:highlight w:val="none"/>
        </w:rPr>
        <w:t>，</w:t>
      </w:r>
      <w:r>
        <w:rPr>
          <w:rFonts w:hint="eastAsia"/>
          <w:sz w:val="15"/>
          <w:szCs w:val="15"/>
          <w:highlight w:val="none"/>
          <w:lang w:val="en-US" w:eastAsia="zh-CN"/>
        </w:rPr>
        <w:t>132337197304190491</w:t>
      </w:r>
      <w:r>
        <w:rPr>
          <w:rFonts w:hint="eastAsia"/>
          <w:sz w:val="15"/>
          <w:szCs w:val="15"/>
        </w:rPr>
        <w:t xml:space="preserve">  </w:t>
      </w:r>
      <w:r>
        <w:rPr>
          <w:rFonts w:hint="eastAsia"/>
          <w:sz w:val="15"/>
          <w:szCs w:val="15"/>
          <w:lang w:val="en-US" w:eastAsia="zh-CN"/>
        </w:rPr>
        <w:t>冀AP6870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