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钱增坤</w:t>
      </w:r>
      <w:r>
        <w:rPr>
          <w:rFonts w:hint="eastAsia"/>
          <w:sz w:val="15"/>
          <w:szCs w:val="15"/>
          <w:highlight w:val="none"/>
        </w:rPr>
        <w:t>，</w:t>
      </w:r>
      <w:r>
        <w:rPr>
          <w:rFonts w:hint="eastAsia"/>
          <w:sz w:val="15"/>
          <w:szCs w:val="15"/>
          <w:highlight w:val="none"/>
          <w:lang w:val="en-US" w:eastAsia="zh-CN"/>
        </w:rPr>
        <w:t>132337197303250376</w:t>
      </w:r>
      <w:r>
        <w:rPr>
          <w:rFonts w:hint="eastAsia"/>
          <w:sz w:val="15"/>
          <w:szCs w:val="15"/>
        </w:rPr>
        <w:t xml:space="preserve">  </w:t>
      </w:r>
      <w:r>
        <w:rPr>
          <w:rFonts w:hint="eastAsia"/>
          <w:sz w:val="15"/>
          <w:szCs w:val="15"/>
          <w:lang w:val="en-US" w:eastAsia="zh-CN"/>
        </w:rPr>
        <w:t>冀A7166W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